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5D" w:rsidRDefault="00483E34" w:rsidP="00483E34">
      <w:pPr>
        <w:jc w:val="center"/>
        <w:rPr>
          <w:b/>
          <w:sz w:val="28"/>
          <w:szCs w:val="28"/>
          <w:lang w:val="mk-MK"/>
        </w:rPr>
      </w:pPr>
      <w:r w:rsidRPr="00483E34">
        <w:rPr>
          <w:b/>
          <w:sz w:val="28"/>
          <w:szCs w:val="28"/>
        </w:rPr>
        <w:t>L I GJ PËR MBROJTJEN E DENONCUESVE</w:t>
      </w:r>
    </w:p>
    <w:p w:rsidR="00483E34" w:rsidRDefault="00483E34" w:rsidP="00483E34">
      <w:pPr>
        <w:jc w:val="center"/>
        <w:rPr>
          <w:b/>
          <w:sz w:val="24"/>
          <w:szCs w:val="24"/>
          <w:lang w:val="mk-MK"/>
        </w:rPr>
      </w:pPr>
      <w:r w:rsidRPr="00483E34">
        <w:rPr>
          <w:b/>
          <w:sz w:val="24"/>
          <w:szCs w:val="24"/>
        </w:rPr>
        <w:t>Qëllimi i ligjit</w:t>
      </w:r>
    </w:p>
    <w:p w:rsidR="00483E34" w:rsidRDefault="00483E34" w:rsidP="00483E34">
      <w:pPr>
        <w:jc w:val="center"/>
        <w:rPr>
          <w:lang w:val="mk-MK"/>
        </w:rPr>
      </w:pPr>
      <w:r>
        <w:t xml:space="preserve">Neni 1 </w:t>
      </w:r>
    </w:p>
    <w:p w:rsidR="00483E34" w:rsidRDefault="00483E34" w:rsidP="00483E34">
      <w:pPr>
        <w:jc w:val="center"/>
        <w:rPr>
          <w:lang w:val="mk-MK"/>
        </w:rPr>
      </w:pPr>
      <w:proofErr w:type="gramStart"/>
      <w:r>
        <w:t>Me këtë ligj rregullohen denoncimi i mbrojtur, të drejtat e denoncuesve, si dhe veprimi dhe detyrat e institucioneve respektivisht personave juridikë në lidhje me denoncimin e mbrojtur dhe sigurimin e mbrojtjes së denoncuesve.</w:t>
      </w:r>
      <w:proofErr w:type="gramEnd"/>
    </w:p>
    <w:p w:rsidR="00483E34" w:rsidRDefault="00483E34" w:rsidP="00483E34">
      <w:pPr>
        <w:jc w:val="center"/>
        <w:rPr>
          <w:b/>
          <w:sz w:val="24"/>
          <w:szCs w:val="24"/>
        </w:rPr>
      </w:pPr>
      <w:r w:rsidRPr="00483E34">
        <w:rPr>
          <w:b/>
          <w:sz w:val="24"/>
          <w:szCs w:val="24"/>
        </w:rPr>
        <w:t>Domethënia e shprehjeve</w:t>
      </w:r>
    </w:p>
    <w:p w:rsidR="003E6639" w:rsidRPr="003E6639" w:rsidRDefault="003E6639" w:rsidP="00483E34">
      <w:pPr>
        <w:jc w:val="center"/>
        <w:rPr>
          <w:sz w:val="20"/>
          <w:szCs w:val="20"/>
          <w:lang w:val="sq-AL"/>
        </w:rPr>
      </w:pPr>
      <w:r>
        <w:rPr>
          <w:sz w:val="20"/>
          <w:szCs w:val="20"/>
          <w:lang w:val="sq-AL"/>
        </w:rPr>
        <w:t>Neni 2</w:t>
      </w:r>
    </w:p>
    <w:p w:rsidR="00483E34" w:rsidRDefault="00483E34" w:rsidP="00483E34">
      <w:pPr>
        <w:jc w:val="center"/>
        <w:rPr>
          <w:lang w:val="mk-MK"/>
        </w:rPr>
      </w:pPr>
      <w:r>
        <w:t xml:space="preserve">(1) Denoncim i mbrojtur në kuptimin e këtij ligji është denoncimi me të cilin në pajtim me ketë ligj bartet dyshimi racional ose kuptimi se është kryer, kryhet ose është e sigurt se do të kryhet veprim i ndëshkueshëm, apo veprim tjetër joligjor ose i palejuar me të cilin shkelet ose cenohet interesi publik. (2) Denoncues në kuptimin e këtij ligji është personi i kategorive </w:t>
      </w:r>
      <w:proofErr w:type="gramStart"/>
      <w:r>
        <w:t>te</w:t>
      </w:r>
      <w:proofErr w:type="gramEnd"/>
      <w:r>
        <w:t xml:space="preserve"> përcaktuara në paragrafin (3) të këtij neni, i cili me qëllim të mirë kryen denoncimin e mbrojtur në pajtim me këtë ligj.</w:t>
      </w:r>
    </w:p>
    <w:p w:rsidR="00483E34" w:rsidRDefault="00483E34" w:rsidP="00483E34">
      <w:pPr>
        <w:jc w:val="center"/>
        <w:rPr>
          <w:lang w:val="mk-MK"/>
        </w:rPr>
      </w:pPr>
      <w:r>
        <w:t xml:space="preserve"> (3) Kategoritë e personave të cilët në pajtim me këtë ligj mund të paraqiten në cilësi të denoncuesve janë: - personi i cili ka themeluar marrëdhënie pune në kohë të pacaktuar ose të caktuar në institucionin respektivisht personin juridik për ku denoncon; - kandidati për punësim, kandidat për vullnetar ose praktikant në institucion respektivisht person juridik për ku denoncon; - personi i cili është ose do ka qenë vullnetar ose praktikant në institucion respektivisht person juridik për ku denoncon; - personi i cili në çfarëdo baze është ose ka qenë i angazhuar për realizimin e punës nga institucioni respektivisht personi juridik për ku denoncon; - personi i cili në çfarëdo baze është ose ka qenë në marrëdhënie afariste ose marrëdhënie tjetër në bashkëpunim me institucionin respektivisht personin juridik për ku denoncon; - personi i cili shfrytëzon ose ka shfrytëzuar shërbime në institucionin respektivisht personin juridik në sektorin publik dhe privat për ku denoncon;</w:t>
      </w:r>
    </w:p>
    <w:p w:rsidR="00483E34" w:rsidRDefault="00483E34" w:rsidP="00483E34">
      <w:pPr>
        <w:jc w:val="center"/>
        <w:rPr>
          <w:lang w:val="mk-MK"/>
        </w:rPr>
      </w:pPr>
      <w:r>
        <w:t xml:space="preserve">(4) Me nocionin interes publik në kuptimin e këtij ligji nënkuptohet mbrojtja e lirive themelore dhe të drejtave të njeriut dhe të qytetarit të pranuara me të drejtën ndërkombëtare dhe të përcaktuara me Kushtetutën e Republikës së Maqedonisë, parandalimin e rreziqeve ndaj shëndetit, mbrojtjen dhe sigurinë, mbrojtjen e mjedisit jetësor dhe natyrës, mbrojtjen e pronës dhe lirisë së tregut dhe sipërmarrësisë, sundimin e të drejtës dhe parandalimin e krimit dhe korrupsionit. </w:t>
      </w:r>
    </w:p>
    <w:p w:rsidR="00483E34" w:rsidRDefault="00483E34" w:rsidP="00483E34">
      <w:pPr>
        <w:jc w:val="center"/>
      </w:pPr>
      <w:r>
        <w:t xml:space="preserve">(5) Me nocionin person i afërt nënkuptohen bashkëshorti ose partneri jashtëmartesor, farefisi sipas gjakut në linjë të drejtë, farefis në linjë anësore përfundimisht deri në shkallën e tretë, si dhe farefis sipas krushqisë përfundimisht deri në shkallën e dytë, të adoptuar dhe adoptues dhe person tjetër të cilin personi i mbrojtur e konsideron si person të afërt dhe për të cilin kërkon të mbrohet në pajtim me dispozitat e nenit 8 dhe 9 të këtij ligji. </w:t>
      </w:r>
    </w:p>
    <w:p w:rsidR="003E6639" w:rsidRDefault="003E6639" w:rsidP="00483E34">
      <w:pPr>
        <w:jc w:val="center"/>
        <w:rPr>
          <w:lang w:val="mk-MK"/>
        </w:rPr>
      </w:pPr>
    </w:p>
    <w:p w:rsidR="00483E34" w:rsidRDefault="00483E34" w:rsidP="00483E34">
      <w:pPr>
        <w:jc w:val="center"/>
        <w:rPr>
          <w:b/>
          <w:sz w:val="24"/>
          <w:szCs w:val="24"/>
          <w:lang w:val="mk-MK"/>
        </w:rPr>
      </w:pPr>
      <w:r w:rsidRPr="00483E34">
        <w:rPr>
          <w:b/>
          <w:sz w:val="24"/>
          <w:szCs w:val="24"/>
        </w:rPr>
        <w:lastRenderedPageBreak/>
        <w:t xml:space="preserve">Denoncimi i mbrojtur </w:t>
      </w:r>
    </w:p>
    <w:p w:rsidR="00483E34" w:rsidRPr="00483E34" w:rsidRDefault="00483E34" w:rsidP="00483E34">
      <w:pPr>
        <w:jc w:val="center"/>
        <w:rPr>
          <w:sz w:val="24"/>
          <w:szCs w:val="24"/>
          <w:lang w:val="sq-AL"/>
        </w:rPr>
      </w:pPr>
      <w:r w:rsidRPr="00483E34">
        <w:rPr>
          <w:sz w:val="24"/>
          <w:szCs w:val="24"/>
          <w:lang w:val="mk-MK"/>
        </w:rPr>
        <w:t>Neni 3</w:t>
      </w:r>
    </w:p>
    <w:p w:rsidR="006168BC" w:rsidRDefault="00483E34" w:rsidP="00483E34">
      <w:pPr>
        <w:pStyle w:val="ListParagraph"/>
        <w:numPr>
          <w:ilvl w:val="0"/>
          <w:numId w:val="1"/>
        </w:numPr>
        <w:jc w:val="center"/>
      </w:pPr>
      <w:r>
        <w:t>Denoncimi i mbrojtur kryhet si denoncim i mbrojtur i brendshëm, denoncim i mbrojtur i jashtëm ose denoncim i mbrojtur publik, në pajtim me nenet 4,5 dhe 6 të këtij ligji, me qëllim të mirë dhe me dyshim racional në vërtetësinë e informatave në përmbajtjen e kallëzimit në kohën e denoncimit. (2) Denoncuesi nuk është i obliguar ta dëshmojë qëllimin e mirë dhe vërtetësinë e denoncimit nga paragrafi (1) i këtij neni. (</w:t>
      </w:r>
    </w:p>
    <w:p w:rsidR="00483E34" w:rsidRDefault="00483E34" w:rsidP="00483E34">
      <w:pPr>
        <w:pStyle w:val="ListParagraph"/>
        <w:numPr>
          <w:ilvl w:val="0"/>
          <w:numId w:val="1"/>
        </w:numPr>
        <w:jc w:val="center"/>
      </w:pPr>
      <w:r>
        <w:t>3) Denoncuesit i sigurohet mbrojtje në pajtim me ligjin dhe i garantohet anonimitet dhe besueshmëri deri në shkallë dhe momentin deri kur ai këtë e kërkon. (4) E drejta e anonimitetit të denoncuesit mund të kufizohet me vendim gjyqësor për të cilin pa prolongim njoftohet denoncuesi.</w:t>
      </w:r>
    </w:p>
    <w:p w:rsidR="009B46B3" w:rsidRPr="009B46B3" w:rsidRDefault="009B46B3" w:rsidP="009B46B3">
      <w:pPr>
        <w:ind w:left="360"/>
        <w:jc w:val="center"/>
        <w:rPr>
          <w:b/>
          <w:sz w:val="24"/>
          <w:szCs w:val="24"/>
        </w:rPr>
      </w:pPr>
      <w:r w:rsidRPr="009B46B3">
        <w:rPr>
          <w:b/>
          <w:sz w:val="24"/>
          <w:szCs w:val="24"/>
        </w:rPr>
        <w:t>Denoncimi i mbrojtur i brendshëm</w:t>
      </w:r>
    </w:p>
    <w:p w:rsidR="00483E34" w:rsidRDefault="009B46B3" w:rsidP="009B46B3">
      <w:pPr>
        <w:ind w:left="360"/>
        <w:jc w:val="center"/>
      </w:pPr>
      <w:r>
        <w:t>Neni 4</w:t>
      </w:r>
    </w:p>
    <w:p w:rsidR="006C5357" w:rsidRDefault="006C5357" w:rsidP="009B46B3">
      <w:pPr>
        <w:ind w:left="360"/>
        <w:jc w:val="center"/>
      </w:pPr>
      <w:r>
        <w:t>(1) Denoncim të mbrojtur denoncuesi kryen në institucionin, respektivisht personin juridik, për ku ka dyshim ose kuptim se është kryer, kryhet ose do të kryhet ose vepër e ndëshkueshme, ose veprim tjetër joligjor ose i palejuar, me të cilin shkelet ose cenohet interesi publik (në tekstin në vijim: denoncim i mbrojtur i brendshëm).</w:t>
      </w:r>
    </w:p>
    <w:p w:rsidR="006C5357" w:rsidRDefault="006C5357" w:rsidP="009B46B3">
      <w:pPr>
        <w:ind w:left="360"/>
        <w:jc w:val="center"/>
      </w:pPr>
      <w:r>
        <w:t xml:space="preserve"> (2) Denoncimin e brendshëm të mbrojtur denoncuesi e kryen në mënyrë me gojë në procesverbal ose në formë të shkruar te personi i autorizuar nga personi udhëheqës në institucion respektivisht person juridik për ku denoncon (në tekstin në vijim: personi i autorizuar për pranimin e denoncimeve nga denoncuesit). </w:t>
      </w:r>
    </w:p>
    <w:p w:rsidR="006C5357" w:rsidRDefault="006C5357" w:rsidP="009B46B3">
      <w:pPr>
        <w:ind w:left="360"/>
        <w:jc w:val="center"/>
      </w:pPr>
      <w:r>
        <w:t xml:space="preserve">(3) Në institucionin përkatësisht personin juridik ku nuk ka person të autorizuar për pranim të denoncimeve nga denoncues, denoncimi i brendshëm i mbrojtur bëhet te personi udhëheqës i institucionit përkatësisht personit juridik në mënyrë përkatësisht në formë të përcaktuar me paragrafin (2) të këtij neni. </w:t>
      </w:r>
    </w:p>
    <w:p w:rsidR="006C5357" w:rsidRDefault="006C5357" w:rsidP="009B46B3">
      <w:pPr>
        <w:ind w:left="360"/>
        <w:jc w:val="center"/>
      </w:pPr>
      <w:r>
        <w:t>(4) Personi juridik për pranim të denoncimeve nga denoncues përkatësisht personi udhëheqës në institucionin përkatësisht personin juridik nga paragrafi (3) i këtij neni, është i obliguar: - të veprojë pas denoncimit nga paragrafi (1) i këtij neni me respektimin e procedurave të përcaktuara me aktin për denoncim të brendshëm, - t’i mbrojnë të dhënat personale të denoncuesit, përkatësisht të dhënat të cilat mund ta zbulojnë identitetin e denoncuesit i cili kërkon të jetë anonim apo denoncon në mënyrë konfidenciale, në pajtim me rregullat për mbrojtjen e të dhënave personale,</w:t>
      </w:r>
      <w:r w:rsidRPr="006C5357">
        <w:t xml:space="preserve"> </w:t>
      </w:r>
      <w:r>
        <w:t>- ta informojë denoncuesin i cili është i njohur për masat e ndërmarra në lidhje me denoncimin pa prolongim, ndërsa më së voni në afat prej 15 ditëve nga dita e pranimit të denoncimit.</w:t>
      </w:r>
    </w:p>
    <w:p w:rsidR="006C5357" w:rsidRDefault="006C5357" w:rsidP="009B46B3">
      <w:pPr>
        <w:ind w:left="360"/>
        <w:jc w:val="center"/>
      </w:pPr>
      <w:r>
        <w:t xml:space="preserve"> (5) Denoncimi i brendshëm i mbrojtur në institucionet në sektorin publik rregullohet me akt që me propozim të Komisionit Shtetëror për parandalim të korrupsionit e miraton ministri i Drejtësisë. </w:t>
      </w:r>
    </w:p>
    <w:p w:rsidR="006C5357" w:rsidRDefault="006C5357" w:rsidP="009B46B3">
      <w:pPr>
        <w:ind w:left="360"/>
        <w:jc w:val="center"/>
      </w:pPr>
      <w:r>
        <w:t xml:space="preserve">(6) Denoncimi i brendshëm i mbrojtur në sektorin privat rregullohet me akt të brendshëm të personit juridik me më së paku 10 persona të punësuar. </w:t>
      </w:r>
    </w:p>
    <w:p w:rsidR="006C5357" w:rsidRDefault="006C5357" w:rsidP="009B46B3">
      <w:pPr>
        <w:ind w:left="360"/>
        <w:jc w:val="center"/>
      </w:pPr>
      <w:r>
        <w:t xml:space="preserve">(7) Aktet e brendshme nga paragrafët (5) dhe (6) të këtij neni botohen edhe në mënyrë tjetër bëhen të arritshme në mënyrë publike për të gjithë të punësuarit në institucionin, përkatësisht personin juridik. </w:t>
      </w:r>
    </w:p>
    <w:p w:rsidR="009B46B3" w:rsidRDefault="006C5357" w:rsidP="009B46B3">
      <w:pPr>
        <w:ind w:left="360"/>
        <w:jc w:val="center"/>
      </w:pPr>
      <w:r>
        <w:t>(8) Udhëzime për miratimin e akteve të brendshme nga paragrafi (6) i këtij neni miraton ministri i Drejtësisë.</w:t>
      </w:r>
    </w:p>
    <w:p w:rsidR="006C5357" w:rsidRPr="006C5357" w:rsidRDefault="006C5357" w:rsidP="009B46B3">
      <w:pPr>
        <w:ind w:left="360"/>
        <w:jc w:val="center"/>
        <w:rPr>
          <w:b/>
        </w:rPr>
      </w:pPr>
      <w:r w:rsidRPr="006C5357">
        <w:rPr>
          <w:b/>
        </w:rPr>
        <w:t>Denoncimi i jashtëm i mbrojtur</w:t>
      </w:r>
    </w:p>
    <w:p w:rsidR="006C5357" w:rsidRDefault="006C5357" w:rsidP="009B46B3">
      <w:pPr>
        <w:ind w:left="360"/>
        <w:jc w:val="center"/>
      </w:pPr>
      <w:r>
        <w:t xml:space="preserve"> Neni 5</w:t>
      </w:r>
    </w:p>
    <w:p w:rsidR="006C5357" w:rsidRDefault="006C5357" w:rsidP="009B46B3">
      <w:pPr>
        <w:ind w:left="360"/>
        <w:jc w:val="center"/>
      </w:pPr>
      <w:r>
        <w:t>(1) Denoncim të mbrojtur denoncuesi mund të kryejë edhe me denoncimin te Ministria e Punëve të Brendshme, prokuroria kompetente publike, Komisioni Shtetëror për pengimin e korrupsionit, Avokati i Popullit i Republikës së Maqedonisë ose institucione tjera kompetente respektivisht persona juridik, nëse: - denoncimi nga neni 4 i këtij ligji është i orientuar drejtpërdrejt apo tërthorazi kundër personit udhëheqës në institucion respektivisht person juridik ku denoncon, - denoncuesi lidhur me denoncimin nuk merr informatë për masat e ndërmarra në afatin e përcaktuar në nenin (4) paragrafi 4 alineja 3 të këtij ligji ose - nuk janë ndërmarrë masa ose denoncuesi nuk është i kënaqur nga veprimi ose dyshon se nuk do të ndërmerren masa ose se denoncimi nga paragrafi (1) i nenit 4 të këtij ligji do të shkaktojë pasoja të dëmshme për atë ose për personin e tij të afërt (në tekstin e mëtejmë: denoncimi i jashtëm i mbrojtur).</w:t>
      </w:r>
    </w:p>
    <w:p w:rsidR="006C5357" w:rsidRDefault="006C5357" w:rsidP="009B46B3">
      <w:pPr>
        <w:ind w:left="360"/>
        <w:jc w:val="center"/>
      </w:pPr>
      <w:r>
        <w:t xml:space="preserve"> (2) Denoncimin e jashtëm të mbrojtur denoncuesi e kryen me gojë në procesverbal ose me shkrim te personi i autorizuar respektivisht te personi udhëheqës në institucion respektivisht personin juridik ku denoncon.</w:t>
      </w:r>
    </w:p>
    <w:p w:rsidR="006C5357" w:rsidRDefault="006C5357" w:rsidP="009B46B3">
      <w:pPr>
        <w:ind w:left="360"/>
        <w:jc w:val="center"/>
      </w:pPr>
      <w:r>
        <w:t xml:space="preserve"> (3) Organet, institucionet respektivisht personat juridikë te të cilët denoncuesi ka kryer denoncim të jashtëm të mbrojtur janë të obliguar në suaza të kompetencave të veta të veprojnë pas denoncimit nga paragrafi (1) i këtij neni, t’i mbrojnë të dhënat personale të denoncuesit, respektivisht të dhënat të cilat mund ta zbulojnë incidentin e denoncuesit i cili kërkon të jetë anonim ose denoncon në mënyrë konfidenciale, në pajtim me dispozitat për mbrojtjen e të dhënave personale, ndërsa për masat e ndërmarra ta informojnë denoncuesin pa prolongim, e më së voni në afat prej 15 ditësh nga dita e pranimit të denoncimit.</w:t>
      </w:r>
    </w:p>
    <w:p w:rsidR="006C5357" w:rsidRDefault="006C5357" w:rsidP="009B46B3">
      <w:pPr>
        <w:ind w:left="360"/>
        <w:jc w:val="center"/>
      </w:pPr>
      <w:r>
        <w:t xml:space="preserve"> (4) Denoncimi i jashtëm i mbrojtur rregullohet me akt të cilin e miraton ministri i Drejtësisë.</w:t>
      </w:r>
    </w:p>
    <w:p w:rsidR="006C5357" w:rsidRDefault="006C5357" w:rsidP="009B46B3">
      <w:pPr>
        <w:ind w:left="360"/>
        <w:jc w:val="center"/>
      </w:pPr>
      <w:r>
        <w:t xml:space="preserve"> (5) Nëse organi të cilit i është dorëzuar informata nuk është kompetent të veprojë lidhur me denoncimin do ta përcjellë informatën te organi kompetent në afat prej tetë ditësh nga dita e pranimit dhe për atë njëkohësisht do ta njoftojë denoncuesin. </w:t>
      </w:r>
    </w:p>
    <w:p w:rsidR="006C5357" w:rsidRDefault="006C5357" w:rsidP="009B46B3">
      <w:pPr>
        <w:ind w:left="360"/>
        <w:jc w:val="center"/>
      </w:pPr>
      <w:r>
        <w:t xml:space="preserve">(6) Organi kompetent nga paragrafi (5) i këtij ligji është i obliguar t’i zbatojë masat për mbrojtje të cilat denoncuesit </w:t>
      </w:r>
      <w:proofErr w:type="gramStart"/>
      <w:r>
        <w:t>ia</w:t>
      </w:r>
      <w:proofErr w:type="gramEnd"/>
      <w:r>
        <w:t xml:space="preserve"> ka siguruar organi të cilit i është kaluar njoftimi</w:t>
      </w:r>
    </w:p>
    <w:p w:rsidR="006C5357" w:rsidRDefault="006C5357" w:rsidP="009B46B3">
      <w:pPr>
        <w:ind w:left="360"/>
        <w:jc w:val="center"/>
      </w:pPr>
      <w:r>
        <w:t xml:space="preserve">(7) Organi i autorizuar është i obliguar me kërkesë të denoncuesit t’i japë njoftim për rrjedhën dhe veprimet të cilat janë ndërmarrë në procedurë, si dhe t’i mundësojë denoncuesit që të kryejë këqyrje në shkresat e lëndëve, në pajtim me ligjin. </w:t>
      </w:r>
    </w:p>
    <w:p w:rsidR="006C5357" w:rsidRDefault="006C5357" w:rsidP="009B46B3">
      <w:pPr>
        <w:ind w:left="360"/>
        <w:jc w:val="center"/>
      </w:pPr>
      <w:r>
        <w:t>(8) Organi i autorizuar është i obliguar, pas përfundimit të procedurës ta njoftojë denoncuesin për rezultatin e procedurës nga paragrafi (1) i këtij neni, në pajtim me ligjin.</w:t>
      </w:r>
    </w:p>
    <w:p w:rsidR="009B46B3" w:rsidRDefault="009B46B3" w:rsidP="009B46B3">
      <w:pPr>
        <w:ind w:left="360"/>
        <w:jc w:val="center"/>
      </w:pPr>
    </w:p>
    <w:p w:rsidR="009B46B3" w:rsidRPr="009B46B3" w:rsidRDefault="009B46B3" w:rsidP="009B46B3">
      <w:pPr>
        <w:ind w:left="360"/>
        <w:jc w:val="center"/>
        <w:rPr>
          <w:b/>
          <w:sz w:val="24"/>
          <w:szCs w:val="24"/>
        </w:rPr>
      </w:pPr>
      <w:r w:rsidRPr="009B46B3">
        <w:rPr>
          <w:b/>
          <w:sz w:val="24"/>
          <w:szCs w:val="24"/>
        </w:rPr>
        <w:t xml:space="preserve">Denoncimi i mbrojtur publik </w:t>
      </w:r>
    </w:p>
    <w:p w:rsidR="009B46B3" w:rsidRDefault="009B46B3" w:rsidP="009B46B3">
      <w:pPr>
        <w:ind w:left="360"/>
        <w:jc w:val="center"/>
      </w:pPr>
      <w:r>
        <w:t>Neni 6</w:t>
      </w:r>
    </w:p>
    <w:p w:rsidR="009B46B3" w:rsidRDefault="009B46B3" w:rsidP="009B46B3">
      <w:pPr>
        <w:ind w:left="360"/>
        <w:jc w:val="center"/>
      </w:pPr>
      <w:r>
        <w:t>(1) Denoncim të mbrojtur publik denoncuesi mund të kryejë me bërjen publike të informatave të qasshme lidhur me kuptimin se është kryer, kryhet ose është e sigurt se do të kryhet vepër e ndëshkueshme me të cilën cenohet ose rrezikohet jeta e denoncuesit dhe personit të afërt të tij, shëndeti i njerëzve, siguria, mjedisi jetësor, dëme me përmasa të mëdha, respektivisht nëse ekziston rrezik i ndërsjellë për asgjësimin e dëshmive.</w:t>
      </w:r>
    </w:p>
    <w:p w:rsidR="009B46B3" w:rsidRDefault="009B46B3" w:rsidP="009B46B3">
      <w:pPr>
        <w:ind w:left="360"/>
        <w:jc w:val="center"/>
      </w:pPr>
      <w:r>
        <w:t xml:space="preserve"> (2) Denoncuesi i cili do të kryej denoncim me bërjen e informatave të qasshme publike në kundërshtim me këtë nen dhe pa paraqitje paraprake te personi i autorizuar për pranimin e denoncimeve nga denoncuesit respektivisht te institucioni kompetent në pajtim me nenet 4, 5 dhe 6 paragrafi (1) nga ky ligj, nuk ka të drejtë të mbrojtjes e cila sigurohet në pajtim me nenet 8, 9 dhe 10 të këtij ligji. </w:t>
      </w:r>
    </w:p>
    <w:p w:rsidR="009B46B3" w:rsidRDefault="009B46B3" w:rsidP="009B46B3">
      <w:pPr>
        <w:ind w:left="360"/>
        <w:jc w:val="center"/>
      </w:pPr>
      <w:r>
        <w:t>(3) Denoncuesi kryen denoncim të mbrojtur publik në pajtim me ligjin me bërjen e informatave të qasshme publike është i obliguar ta respektojë prezumimin e pafajësisë së të denoncuarit, si dhe të mos e rrezikojë mbajtjen e procedurës gjyqësore.</w:t>
      </w:r>
    </w:p>
    <w:p w:rsidR="009B46B3" w:rsidRPr="009B46B3" w:rsidRDefault="009B46B3" w:rsidP="009B46B3">
      <w:pPr>
        <w:ind w:left="360"/>
        <w:jc w:val="center"/>
        <w:rPr>
          <w:b/>
          <w:sz w:val="24"/>
          <w:szCs w:val="24"/>
        </w:rPr>
      </w:pPr>
      <w:r w:rsidRPr="009B46B3">
        <w:rPr>
          <w:b/>
          <w:sz w:val="24"/>
          <w:szCs w:val="24"/>
        </w:rPr>
        <w:t>Mbrojtja e të dhënave dhe incidentit të denoncimit</w:t>
      </w:r>
    </w:p>
    <w:p w:rsidR="009B46B3" w:rsidRDefault="009B46B3" w:rsidP="009B46B3">
      <w:pPr>
        <w:ind w:left="360"/>
        <w:jc w:val="center"/>
      </w:pPr>
      <w:r>
        <w:t xml:space="preserve"> Neni 7</w:t>
      </w:r>
    </w:p>
    <w:p w:rsidR="009B46B3" w:rsidRDefault="009B46B3" w:rsidP="009B46B3">
      <w:pPr>
        <w:ind w:left="360"/>
        <w:jc w:val="center"/>
      </w:pPr>
      <w:r>
        <w:t xml:space="preserve">(1) Ndalohet zbulimi ose mundësimi i zbulimit të identitetit të denoncuesit, përveç atëherë kur ajo kërkohet me vendim gjyqësor. </w:t>
      </w:r>
    </w:p>
    <w:p w:rsidR="009B46B3" w:rsidRDefault="009B46B3" w:rsidP="009B46B3">
      <w:pPr>
        <w:ind w:left="360"/>
        <w:jc w:val="center"/>
      </w:pPr>
      <w:r>
        <w:t>(2) Personi i autorizuar për pranimin e denoncimeve nga denoncuesit është i obliguar t’i mbrojë të dhënat për denoncuesin, respektivisht të dhënat në bazë të të cilave mund të zbulohet identiteti i denoncuesit, përveç nëse denoncuesi është pajtuar për zbulimin e atyre të dhënave dhe në pajtim me ligjin me të cilin rregullohet mbrojtja e të dhënave personale.</w:t>
      </w:r>
    </w:p>
    <w:p w:rsidR="009B46B3" w:rsidRDefault="009B46B3" w:rsidP="009B46B3">
      <w:pPr>
        <w:ind w:left="360"/>
        <w:jc w:val="center"/>
      </w:pPr>
      <w:r>
        <w:t xml:space="preserve"> (3) Çdo person i cili do t’i kuptojë të dhënat nga paragrafi (1) i këtij neni është i obliguar t’i mbrojë ato të dhëna. </w:t>
      </w:r>
    </w:p>
    <w:p w:rsidR="009B46B3" w:rsidRDefault="009B46B3" w:rsidP="009B46B3">
      <w:pPr>
        <w:ind w:left="360"/>
        <w:jc w:val="center"/>
      </w:pPr>
      <w:r>
        <w:t>(4) Personi i autorizuar për pranimin e denoncimeve nga denoncuesit është i obliguar gjatë pranimit të informatave ta njoftojë denoncuesin se identiteti i tij mund t’i zbulohet organit kompetent, nëse pa zbulimin e identitetit nuk do të ishte e mundur të veprohet para atyre organeve, si dhe ta njoftojë për masat për mbrojtjen e pjesëmarrësit në procedurën penale.</w:t>
      </w:r>
    </w:p>
    <w:p w:rsidR="009B46B3" w:rsidRDefault="009B46B3" w:rsidP="009B46B3">
      <w:pPr>
        <w:ind w:left="360"/>
        <w:jc w:val="center"/>
      </w:pPr>
      <w:r>
        <w:t xml:space="preserve"> (5) Nëse gjatë procedurës është e domosdoshme të zbulohet identiteti i denoncuesit, personi i autorizuar për pranimin e denoncimeve nga denoncuesit është i obliguar që për atë ta njoftojë denoncuesin, para zbulimit të identitetit. </w:t>
      </w:r>
    </w:p>
    <w:p w:rsidR="009B46B3" w:rsidRDefault="009B46B3" w:rsidP="009B46B3">
      <w:pPr>
        <w:ind w:left="360"/>
        <w:jc w:val="center"/>
      </w:pPr>
      <w:r>
        <w:t>(6) Të dhënat nga paragrafi (1) i këtij neni nuk guxojnë t’i zbulohen personit për të cilin sugjerohet në informatë.</w:t>
      </w:r>
    </w:p>
    <w:p w:rsidR="009B46B3" w:rsidRPr="009B46B3" w:rsidRDefault="009B46B3" w:rsidP="009B46B3">
      <w:pPr>
        <w:ind w:left="360"/>
        <w:jc w:val="center"/>
        <w:rPr>
          <w:b/>
          <w:sz w:val="24"/>
          <w:szCs w:val="24"/>
        </w:rPr>
      </w:pPr>
      <w:r w:rsidRPr="009B46B3">
        <w:rPr>
          <w:b/>
          <w:sz w:val="24"/>
          <w:szCs w:val="24"/>
        </w:rPr>
        <w:t>Sigurimi i mbrojtjes së denoncuesit</w:t>
      </w:r>
    </w:p>
    <w:p w:rsidR="009B46B3" w:rsidRDefault="009B46B3" w:rsidP="009B46B3">
      <w:pPr>
        <w:ind w:left="360"/>
        <w:jc w:val="center"/>
      </w:pPr>
      <w:r>
        <w:t xml:space="preserve"> Neni 8</w:t>
      </w:r>
    </w:p>
    <w:p w:rsidR="009B46B3" w:rsidRDefault="009B46B3" w:rsidP="009B46B3">
      <w:pPr>
        <w:pStyle w:val="ListParagraph"/>
        <w:numPr>
          <w:ilvl w:val="0"/>
          <w:numId w:val="2"/>
        </w:numPr>
        <w:jc w:val="center"/>
      </w:pPr>
      <w:r>
        <w:t xml:space="preserve">Denoncuesit dhe personit të afërt të tij u sigurohet mbrojtje e çfarëdo lloji të shkeljes së të drejtës ose veprimit të dëmshëm ose rrezikut nga paraqitja e veprimeve të dëmshme për shkak të kryerjes së denoncimit të mbrojtur të jashtëm dhe të brendshëm ose denoncimit të mbrojtur publik. </w:t>
      </w:r>
    </w:p>
    <w:p w:rsidR="009B46B3" w:rsidRDefault="009B46B3" w:rsidP="009B46B3">
      <w:pPr>
        <w:pStyle w:val="ListParagraph"/>
        <w:numPr>
          <w:ilvl w:val="0"/>
          <w:numId w:val="2"/>
        </w:numPr>
        <w:jc w:val="center"/>
      </w:pPr>
      <w:r>
        <w:t>(2) Mbrojtja nga paragrafi (1) i këtij neni sigurohet nga ana e institucionit respektivisht personit juridik ku është kryer denoncimi me ndërmarrjen e veprimit të pengohet shkelja e të drejtave të marrëdhënies së punës ose të cilësdo të drejtë që është e drejtë dhe përmbajtje nga veprimet me të cilat shkelet ose rrezikohet cilado e drejtë e denoncuesit për shkak të denoncimit të kryer. (3) Nëse nuk është siguruar mbrojtje nga paragrafi (2) i këtij neni, denoncuesi për këtë denoncon në Komisionin Shtetëror për pengimin e Korrupsionit, Avokatin e Popullit të Republikës së Maqedonisë, Këshillin Inspektues, Ministrinë e Punëve të Brendshme dhe te Prokuroria Publike e Republikës së Maqedonisë, të cilat sipas denoncimit pa prolongim veprojnë në pajtim me kompetencat e tyre</w:t>
      </w:r>
    </w:p>
    <w:p w:rsidR="009B46B3" w:rsidRDefault="009B46B3" w:rsidP="009B46B3">
      <w:pPr>
        <w:pStyle w:val="ListParagraph"/>
        <w:numPr>
          <w:ilvl w:val="0"/>
          <w:numId w:val="2"/>
        </w:numPr>
        <w:jc w:val="center"/>
      </w:pPr>
      <w:r>
        <w:t xml:space="preserve">. (4) E drejta për mbrojtje nga </w:t>
      </w:r>
      <w:proofErr w:type="gramStart"/>
      <w:r>
        <w:t>ky</w:t>
      </w:r>
      <w:proofErr w:type="gramEnd"/>
      <w:r>
        <w:t xml:space="preserve"> nen zgjerohet që ti përfshijë edhe personat të cilët do bëjnë të sigurt se ai që është i denoncuar mund të dyshojë se kanë kryer denoncim kundër tij. </w:t>
      </w:r>
    </w:p>
    <w:p w:rsidR="009B46B3" w:rsidRDefault="009B46B3" w:rsidP="009B46B3">
      <w:pPr>
        <w:ind w:left="360"/>
        <w:jc w:val="center"/>
      </w:pPr>
      <w:r>
        <w:t>Neni 9</w:t>
      </w:r>
    </w:p>
    <w:p w:rsidR="009B46B3" w:rsidRDefault="009B46B3" w:rsidP="009B46B3">
      <w:pPr>
        <w:ind w:left="360"/>
        <w:jc w:val="center"/>
      </w:pPr>
      <w:r>
        <w:t xml:space="preserve"> (1) Pas pranimit të denoncimit nga neni 8 paragrafi (3) i këtij ligji, institucionet nga neni 8 paragrafi (3) i këtij ligji, pa prolongim nga institucioni përkatësisht personi juridik ku është bërë denoncimi, kërkon njoftim për ekzistimin e cilësdo formë të shkeljes së të drejtës së denoncuesve dhe të anëtarëve të familjes së tij, për shkak të denoncimit të bërë. </w:t>
      </w:r>
    </w:p>
    <w:p w:rsidR="009B46B3" w:rsidRDefault="009B46B3" w:rsidP="009B46B3">
      <w:pPr>
        <w:ind w:left="360"/>
        <w:jc w:val="center"/>
      </w:pPr>
      <w:r>
        <w:t>(2) Personi juridik përkatësisht institucioni është i obliguar pa prolongim të veprojë sipas kërkesave nga paragrafi (1) i këtij neni dhe pa prolongim, kurse më së shumti në afat prej tetë ditëve, për këtë të parashtrojë njoftim.</w:t>
      </w:r>
    </w:p>
    <w:p w:rsidR="009B46B3" w:rsidRDefault="009B46B3" w:rsidP="009B46B3">
      <w:pPr>
        <w:ind w:left="360"/>
        <w:jc w:val="center"/>
      </w:pPr>
      <w:r>
        <w:t xml:space="preserve"> (3) Nëse përcaktohet se institucioni, përkatësisht personi ku është bërë denoncimi ka shkelur të drejtën e denoncuesit, anëtarit të familjes së tij ose personit të afërt me atë, institucionet nga paragrafi (1) i këtij neni pa prolongim u drejtohen institucioneve dhe organeve kompetente me kërkesë me shkrim për ndërmarrje urgjente të masave për mbrojtjen e denoncuesit me ndërprerjen e veprimeve, përkatësisht mënjanimin e lëshimeve me të cilat shkelen të drejtat e denoncuesit. </w:t>
      </w:r>
    </w:p>
    <w:p w:rsidR="009B46B3" w:rsidRDefault="009B46B3" w:rsidP="009B46B3">
      <w:pPr>
        <w:ind w:left="360"/>
        <w:jc w:val="center"/>
      </w:pPr>
      <w:proofErr w:type="gramStart"/>
      <w:r>
        <w:t>(4) Për veprimet e ndërmarra dhe konstatimet e caktuara nga paragrafët (1), (2) dhe (3) të këtij neni, institucionet nga paragrafi (1) i këtij neni pa prolongim e njoftojnë denoncuesin.</w:t>
      </w:r>
      <w:proofErr w:type="gramEnd"/>
    </w:p>
    <w:p w:rsidR="009B46B3" w:rsidRDefault="009B46B3" w:rsidP="009B46B3">
      <w:pPr>
        <w:ind w:left="360"/>
        <w:jc w:val="center"/>
      </w:pPr>
      <w:r>
        <w:t xml:space="preserve"> (5) Nëse edhe krahas aktivitetit të ndërmarrë të institucioneve nga paragrafët (1), (2) dhe (3) të këtij neni vazhdon shkelja e të drejtës së denoncuesit, anëtarit të familjes së vet ose person të afërt me atë, institucionet pa prolongim, kurse më së voni në afat prej 8 ditëve ngrenë iniciativë për ngritjen e procedurës për ndjekje penale, përkatësisht iniciativë për ngritje të procedurës para organeve e kompetente për shkarkim, sistemim, ndërrim ose aplikim të masave tjera të përgjegjësisë së personave të zgjedhur ose të emëruar, personave zyrtar ose personave përgjegjës në ndërmarrje publike dhe persona tjerë juridik që disponojnë me kapital shtetërorkompetente për shkarkim, sistemim, ndërrim ose aplikim të masave tjera të përgjegjësisë së personave të zgjedhur ose të emëruar, personave zyrtar ose personave përgjegjës në ndërmarrje publike dhe persona tjerë juridik që disponojnë me kapital shtetëror.</w:t>
      </w:r>
    </w:p>
    <w:p w:rsidR="009B46B3" w:rsidRDefault="009B46B3" w:rsidP="009B46B3">
      <w:pPr>
        <w:ind w:left="360"/>
        <w:jc w:val="center"/>
      </w:pPr>
      <w:r>
        <w:t>(6) Nëse është denoncuar vepër penale kundër shtetit, kundër njerëzimit dhe të drejtës ndërkombëtare, nga sfera e krimit të organizuar dhe për të cilën me Kodin penal është përcaktuar dënim me burg prej së paku katër viteve, dëshmimi i të cilës është shoqëruar me vështirësi joproporcionale ose nuk mund të bëhet pa deklaratë të denoncuesit i cili për shkak të rrezikut potencial që t’i nënshtrohet frikësimit, kërcënimit me hakmarrje ose rrezik për jetën, shëndetin, lirinë, integritetin fizik ose pronës me vëllim më të madh, nuk pajtohet në cilësi të dëshmitarit japë deklaratë, institucionet me pëlqim të siguruar në formë të shkruar nga denoncuesi parashtron: - në Ministrinë e punëve të brendshme ose Prokurorin publik kompetent iniciativë për parashtrimin e kërkesës me shkrim për parashtrimin e Propozimit për përfshirje në Programin për mbrojtje në pajtim me Ligjin për mbrojtjen e dëshmitarëve ose - te Prokurori Publik i Republikës së Maqedonisë iniciativë për parashtrimin e Propozimit për përfshirje në Programin për mbrojtje në pajtim me Ligjin për mbrojtjen e dëshmitarëve.</w:t>
      </w:r>
    </w:p>
    <w:p w:rsidR="009B46B3" w:rsidRPr="009B46B3" w:rsidRDefault="009B46B3" w:rsidP="009B46B3">
      <w:pPr>
        <w:ind w:left="360"/>
        <w:jc w:val="center"/>
        <w:rPr>
          <w:b/>
          <w:sz w:val="24"/>
          <w:szCs w:val="24"/>
        </w:rPr>
      </w:pPr>
      <w:r w:rsidRPr="009B46B3">
        <w:rPr>
          <w:b/>
          <w:sz w:val="24"/>
          <w:szCs w:val="24"/>
        </w:rPr>
        <w:t xml:space="preserve">Mbrojtja gjyqësore </w:t>
      </w:r>
    </w:p>
    <w:p w:rsidR="009B46B3" w:rsidRDefault="009B46B3" w:rsidP="009B46B3">
      <w:pPr>
        <w:ind w:left="360"/>
        <w:jc w:val="center"/>
      </w:pPr>
      <w:r>
        <w:t>Neni 10</w:t>
      </w:r>
    </w:p>
    <w:p w:rsidR="009B46B3" w:rsidRDefault="009B46B3" w:rsidP="009B46B3">
      <w:pPr>
        <w:pStyle w:val="ListParagraph"/>
        <w:numPr>
          <w:ilvl w:val="0"/>
          <w:numId w:val="3"/>
        </w:numPr>
        <w:jc w:val="center"/>
      </w:pPr>
      <w:r>
        <w:t>Denoncuesi ka të drejtë për mbrojtje gjyqësore para gjykatës kompetente në pajtim me ligj. (2) Denoncuesi mund para gjykatës kompetente me padi të kërkojë: - përcaktim se është ndërmarrë veprim i dëmshëm ose është shkelur e drejta për shkak të denoncimit; - ndalesë të kryerjes së veprimit të dëmshëm ose shkeljes së të drejtës dhe përsëritjes së veprimit të dëmshëm ose shkeljes së të drejtës; - anulim me akt me të cilin është kryer veprimi i dëmshëm ose shkelja e të drejtës; - mënjanim i pasojave të veprimit të dëmshëm ose shkeljes së të drejtës dhe - kompensim i dëmit material dhe jomaterial; (3) Procedura për padinë nga paragrafi (2) i këtij neni është urgjente. (4) Në procedurën për mbrojtje gjyqësore në lidhje me denoncimin lejohet revision</w:t>
      </w:r>
    </w:p>
    <w:p w:rsidR="009B46B3" w:rsidRPr="009B46B3" w:rsidRDefault="009B46B3" w:rsidP="009B46B3">
      <w:pPr>
        <w:pStyle w:val="ListParagraph"/>
        <w:jc w:val="center"/>
        <w:rPr>
          <w:b/>
          <w:sz w:val="24"/>
          <w:szCs w:val="24"/>
        </w:rPr>
      </w:pPr>
      <w:r w:rsidRPr="009B46B3">
        <w:rPr>
          <w:b/>
          <w:sz w:val="24"/>
          <w:szCs w:val="24"/>
        </w:rPr>
        <w:t>Ngarkimi i dëshmimit</w:t>
      </w:r>
    </w:p>
    <w:p w:rsidR="009B46B3" w:rsidRDefault="009B46B3" w:rsidP="009B46B3">
      <w:pPr>
        <w:pStyle w:val="ListParagraph"/>
        <w:jc w:val="center"/>
      </w:pPr>
      <w:r>
        <w:t>Neni 11</w:t>
      </w:r>
    </w:p>
    <w:p w:rsidR="009B46B3" w:rsidRDefault="009B46B3" w:rsidP="009B46B3">
      <w:proofErr w:type="gramStart"/>
      <w:r>
        <w:t>Në rast të kontestit për ekzistim të shkeljes së të drejtës së denoncuesit dhe të personit të tij të afërt për shkak të denoncimit, ngarkimi i dëshmimit është në anën e institucionit, përkatësisht personit juridik i cili ka shkelur të drejtat e denoncuesit dhe të anëtarëve të familjes së tij.</w:t>
      </w:r>
      <w:proofErr w:type="gramEnd"/>
    </w:p>
    <w:p w:rsidR="00512E16" w:rsidRDefault="00512E16" w:rsidP="009B46B3"/>
    <w:p w:rsidR="00512E16" w:rsidRDefault="00512E16" w:rsidP="009B46B3"/>
    <w:p w:rsidR="00512E16" w:rsidRPr="00512E16" w:rsidRDefault="009B46B3" w:rsidP="00512E16">
      <w:pPr>
        <w:jc w:val="center"/>
        <w:rPr>
          <w:b/>
          <w:sz w:val="24"/>
          <w:szCs w:val="24"/>
        </w:rPr>
      </w:pPr>
      <w:r w:rsidRPr="00512E16">
        <w:rPr>
          <w:b/>
          <w:sz w:val="24"/>
          <w:szCs w:val="24"/>
        </w:rPr>
        <w:t>Pavlefshmëria e dispozitave në marrëveshje dhe akte</w:t>
      </w:r>
    </w:p>
    <w:p w:rsidR="009B46B3" w:rsidRDefault="009B46B3" w:rsidP="00512E16">
      <w:pPr>
        <w:jc w:val="center"/>
      </w:pPr>
      <w:r>
        <w:t>Neni 12</w:t>
      </w:r>
    </w:p>
    <w:p w:rsidR="00512E16" w:rsidRDefault="00512E16" w:rsidP="00512E16">
      <w:pPr>
        <w:jc w:val="center"/>
      </w:pPr>
      <w:r>
        <w:t>Dispozitat në marrëveshjet dhe aktet me të cilat lidhen, përkatësisht rregullohen marrëdhëniet e punës dhe angazhimet e punës, me të cilat ndalohet denoncimi i dyshimit ose kuptimit për vepër të ndëshkueshme ose veprim tjetër të paligjshëm dhe të palejuar me të cilin shkelet ose rrezikohet interesi publik, siguria dhe mbrojtja ose denoncimi i tillë përkufizohet si shkelje e dispozitave për besueshmëri, lojalitet dhe profesionalizëm konsiderohen si të pavlefshme.</w:t>
      </w:r>
    </w:p>
    <w:p w:rsidR="00512E16" w:rsidRDefault="00512E16" w:rsidP="00512E16">
      <w:pPr>
        <w:jc w:val="center"/>
        <w:rPr>
          <w:b/>
          <w:sz w:val="24"/>
          <w:szCs w:val="24"/>
        </w:rPr>
      </w:pPr>
      <w:r w:rsidRPr="00512E16">
        <w:rPr>
          <w:b/>
          <w:sz w:val="24"/>
          <w:szCs w:val="24"/>
        </w:rPr>
        <w:t xml:space="preserve">Kompensimi i </w:t>
      </w:r>
      <w:r>
        <w:rPr>
          <w:b/>
          <w:sz w:val="24"/>
          <w:szCs w:val="24"/>
        </w:rPr>
        <w:t>demit</w:t>
      </w:r>
    </w:p>
    <w:p w:rsidR="00512E16" w:rsidRDefault="00512E16" w:rsidP="00512E16">
      <w:pPr>
        <w:jc w:val="center"/>
      </w:pPr>
      <w:r>
        <w:t>Neni 13</w:t>
      </w:r>
    </w:p>
    <w:p w:rsidR="00512E16" w:rsidRPr="00512E16" w:rsidRDefault="00512E16" w:rsidP="00512E16">
      <w:pPr>
        <w:pStyle w:val="ListParagraph"/>
        <w:numPr>
          <w:ilvl w:val="0"/>
          <w:numId w:val="4"/>
        </w:numPr>
        <w:jc w:val="center"/>
        <w:rPr>
          <w:b/>
          <w:sz w:val="24"/>
          <w:szCs w:val="24"/>
        </w:rPr>
      </w:pPr>
      <w:r>
        <w:t>Denoncuesi ka të drejtë të kompensimit të dëmit që mund ta pëson ai ose person i afërt me atë për shkak të denoncimit të mbrojtur.</w:t>
      </w:r>
    </w:p>
    <w:p w:rsidR="00512E16" w:rsidRDefault="00512E16" w:rsidP="00512E16">
      <w:pPr>
        <w:pStyle w:val="ListParagraph"/>
        <w:numPr>
          <w:ilvl w:val="0"/>
          <w:numId w:val="4"/>
        </w:numPr>
      </w:pPr>
      <w:r>
        <w:t xml:space="preserve">Kërkesa për kompensim të dëmit nga paragrafi (1) i këtij neni realizohet me parashtrimin e padisë në gjykatën kompetente. Keqpërdorimi i denoncimit të denoncuesit </w:t>
      </w:r>
    </w:p>
    <w:p w:rsidR="0092171A" w:rsidRPr="0092171A" w:rsidRDefault="0092171A" w:rsidP="009B46B3">
      <w:pPr>
        <w:pStyle w:val="ListParagraph"/>
        <w:jc w:val="center"/>
        <w:rPr>
          <w:b/>
          <w:sz w:val="24"/>
          <w:szCs w:val="24"/>
        </w:rPr>
      </w:pPr>
      <w:r w:rsidRPr="0092171A">
        <w:rPr>
          <w:b/>
          <w:sz w:val="24"/>
          <w:szCs w:val="24"/>
        </w:rPr>
        <w:t>Keqpërdorimi i denoncimit të denoncuesit</w:t>
      </w:r>
    </w:p>
    <w:p w:rsidR="0092171A" w:rsidRDefault="0092171A" w:rsidP="009B46B3">
      <w:pPr>
        <w:pStyle w:val="ListParagraph"/>
        <w:jc w:val="center"/>
      </w:pPr>
      <w:r>
        <w:t xml:space="preserve"> Neni 14 </w:t>
      </w:r>
    </w:p>
    <w:p w:rsidR="0092171A" w:rsidRDefault="0092171A" w:rsidP="009B46B3">
      <w:pPr>
        <w:pStyle w:val="ListParagraph"/>
        <w:jc w:val="center"/>
      </w:pPr>
      <w:r>
        <w:t>(1) Keqpërdorimi i denoncimit të denoncuesit është denoncim i vetëdijshëm i informatave të pavërteta për person fizik ose juridik me qëllim të shkaktimit të pasojave të dëmshme për të njëjtin.</w:t>
      </w:r>
    </w:p>
    <w:p w:rsidR="0092171A" w:rsidRDefault="0092171A" w:rsidP="009B46B3">
      <w:pPr>
        <w:pStyle w:val="ListParagraph"/>
        <w:jc w:val="center"/>
      </w:pPr>
      <w:r>
        <w:t xml:space="preserve"> (2) Keqpërdorim i denoncimit të denoncuesit është edhe nëse me vëmendje të duhur dhe vetëdije, deri në shkallën që këtë e lejojnë rrethanat, nuk ka kontrolluar nëse ato janë të sakta dhe autentike. </w:t>
      </w:r>
    </w:p>
    <w:p w:rsidR="0092171A" w:rsidRDefault="0092171A" w:rsidP="009B46B3">
      <w:pPr>
        <w:pStyle w:val="ListParagraph"/>
        <w:jc w:val="center"/>
      </w:pPr>
      <w:proofErr w:type="gramStart"/>
      <w:r>
        <w:t>(3) Me përcaktimin e keqpërdorimit nga paragrafët (1) dhe (2) të këtij neni humbet mbrojtja e siguruar në pajtim me nenin 8 të këtij ligji.</w:t>
      </w:r>
      <w:proofErr w:type="gramEnd"/>
      <w:r>
        <w:t xml:space="preserve"> </w:t>
      </w:r>
    </w:p>
    <w:p w:rsidR="009B46B3" w:rsidRDefault="0092171A" w:rsidP="009B46B3">
      <w:pPr>
        <w:pStyle w:val="ListParagraph"/>
        <w:jc w:val="center"/>
      </w:pPr>
      <w:r>
        <w:t>(4) Keqpërdorimi i denoncimit të denoncuesit për shkak të cilit janë paraqitur pasoja të dëmshme për personin fizik ose juridik është bazë e ngritjes së procedurës për përcaktimin e përgjegjësisë së tij në pajtim me ligj.</w:t>
      </w:r>
    </w:p>
    <w:p w:rsidR="0092171A" w:rsidRPr="0092171A" w:rsidRDefault="0092171A" w:rsidP="009B46B3">
      <w:pPr>
        <w:pStyle w:val="ListParagraph"/>
        <w:jc w:val="center"/>
        <w:rPr>
          <w:b/>
          <w:sz w:val="24"/>
          <w:szCs w:val="24"/>
        </w:rPr>
      </w:pPr>
      <w:r w:rsidRPr="0092171A">
        <w:rPr>
          <w:b/>
          <w:sz w:val="24"/>
          <w:szCs w:val="24"/>
        </w:rPr>
        <w:t>Njoftim për denoncime të pranuara nga denoncuesit</w:t>
      </w:r>
    </w:p>
    <w:p w:rsidR="0092171A" w:rsidRDefault="0092171A" w:rsidP="009B46B3">
      <w:pPr>
        <w:pStyle w:val="ListParagraph"/>
        <w:jc w:val="center"/>
      </w:pPr>
      <w:r>
        <w:t xml:space="preserve"> Neni 15</w:t>
      </w:r>
    </w:p>
    <w:p w:rsidR="0092171A" w:rsidRDefault="0092171A" w:rsidP="009B46B3">
      <w:pPr>
        <w:pStyle w:val="ListParagraph"/>
        <w:jc w:val="center"/>
      </w:pPr>
      <w:r>
        <w:t xml:space="preserve"> (1) Personat e autorizuar përkatësisht udhëheqës të institucioneve përkatësisht personave juridik në sektorin publik te të cilët denoncohet në pajtim me nenet 4 dhe 5 të këtij ligji, janë të obliguar në Komisionin shtetëror për parandalimin e korrupsionit të parashtrojnë raporte gjysmëvjetore për denoncime të pranuara nga denoncuesit.</w:t>
      </w:r>
    </w:p>
    <w:p w:rsidR="0092171A" w:rsidRDefault="0092171A" w:rsidP="009B46B3">
      <w:pPr>
        <w:pStyle w:val="ListParagraph"/>
        <w:jc w:val="center"/>
      </w:pPr>
      <w:r>
        <w:t xml:space="preserve"> (2) Komisioni shtetëror për parandalimin e korrupsionit dhe Ministria e Drejtësisë janë të obliguar në Kuvendin e Republikës së Maqedonisë të parashtrojnë raporte të veçanta vjetore për denoncime të pranuara nga denoncuesit. </w:t>
      </w:r>
    </w:p>
    <w:p w:rsidR="0092171A" w:rsidRDefault="0092171A" w:rsidP="009B46B3">
      <w:pPr>
        <w:pStyle w:val="ListParagraph"/>
        <w:jc w:val="center"/>
      </w:pPr>
      <w:r>
        <w:t>(3) Forma dhe përmbajtja e raporteve gjysmëvjetore nga paragrafi (1) i këtij neni rregullohet me aktet e brendshme nga nenet 4 dhe 5 të këtij ligji.</w:t>
      </w:r>
    </w:p>
    <w:p w:rsidR="0092171A" w:rsidRDefault="0092171A" w:rsidP="009B46B3">
      <w:pPr>
        <w:pStyle w:val="ListParagraph"/>
        <w:jc w:val="center"/>
      </w:pPr>
    </w:p>
    <w:p w:rsidR="0092171A" w:rsidRPr="0092171A" w:rsidRDefault="0092171A" w:rsidP="009B46B3">
      <w:pPr>
        <w:pStyle w:val="ListParagraph"/>
        <w:jc w:val="center"/>
        <w:rPr>
          <w:b/>
          <w:sz w:val="24"/>
          <w:szCs w:val="24"/>
        </w:rPr>
      </w:pPr>
      <w:r w:rsidRPr="0092171A">
        <w:rPr>
          <w:b/>
          <w:sz w:val="24"/>
          <w:szCs w:val="24"/>
        </w:rPr>
        <w:t>Dispozita kundërvajtëse</w:t>
      </w:r>
    </w:p>
    <w:p w:rsidR="0092171A" w:rsidRDefault="0092171A" w:rsidP="009B46B3">
      <w:pPr>
        <w:pStyle w:val="ListParagraph"/>
        <w:jc w:val="center"/>
      </w:pPr>
      <w:r>
        <w:t xml:space="preserve"> Neni 16</w:t>
      </w:r>
    </w:p>
    <w:p w:rsidR="0092171A" w:rsidRDefault="0092171A" w:rsidP="009B46B3">
      <w:pPr>
        <w:pStyle w:val="ListParagraph"/>
        <w:jc w:val="center"/>
      </w:pPr>
      <w:r>
        <w:t xml:space="preserve"> Gjobë në shumë prej 3000 deri 6000 euro në kundërvlerë me denarë do t’i shqiptohet personit të autorizuar për pranim të denoncimeve nga denoncuesit përkatësisht personit udhëheqës në institucionin përkatësisht personin juridik nëse vepron në kundërshtim me nenin 4 paragrafi (4) i këtij ligji.</w:t>
      </w:r>
    </w:p>
    <w:p w:rsidR="0092171A" w:rsidRDefault="0092171A" w:rsidP="009B46B3">
      <w:pPr>
        <w:pStyle w:val="ListParagraph"/>
        <w:jc w:val="center"/>
      </w:pPr>
      <w:r>
        <w:t xml:space="preserve"> Neni 17</w:t>
      </w:r>
    </w:p>
    <w:p w:rsidR="0092171A" w:rsidRDefault="0092171A" w:rsidP="0092171A">
      <w:pPr>
        <w:pStyle w:val="ListParagraph"/>
        <w:numPr>
          <w:ilvl w:val="0"/>
          <w:numId w:val="6"/>
        </w:numPr>
        <w:jc w:val="center"/>
      </w:pPr>
      <w:r>
        <w:t>Gjobë në shumë prej 2000 deri 4000 euro në kundërvlerë me denarë do t’i shqiptohet institucionit përkatësisht personit juridik nëse vepron në kundërshtim me nenin 4 paragrafi (7) i këtij ligji.</w:t>
      </w:r>
    </w:p>
    <w:p w:rsidR="0092171A" w:rsidRDefault="0092171A" w:rsidP="0092171A">
      <w:pPr>
        <w:pStyle w:val="ListParagraph"/>
        <w:numPr>
          <w:ilvl w:val="0"/>
          <w:numId w:val="6"/>
        </w:numPr>
      </w:pPr>
      <w:r>
        <w:t>Gjobë në shumë prej 30% të gjobës së përllogaritur për institucionin përkatësisht personin juridik do t’i shqiptohet edhe personit përgjegjës në institucionin përkatësisht personin juridik për kundërvajtjen nga paragrafi (1) i këtij neni.</w:t>
      </w:r>
    </w:p>
    <w:p w:rsidR="0092171A" w:rsidRPr="0092171A" w:rsidRDefault="0092171A" w:rsidP="0092171A">
      <w:pPr>
        <w:pStyle w:val="ListParagraph"/>
        <w:ind w:left="1125"/>
        <w:jc w:val="center"/>
        <w:rPr>
          <w:lang w:val="sq-AL"/>
        </w:rPr>
      </w:pPr>
      <w:r>
        <w:t>Neni 18</w:t>
      </w:r>
    </w:p>
    <w:p w:rsidR="0092171A" w:rsidRDefault="0092171A" w:rsidP="0092171A">
      <w:pPr>
        <w:pStyle w:val="ListParagraph"/>
        <w:ind w:left="1125"/>
      </w:pPr>
      <w:r>
        <w:t xml:space="preserve"> Gjobë në shumë prej 6000 euro në kundërvlerë me denarë do t’i shqiptohet institucionit përkatësisht personit juridik nëse vepron në kundërshtim me nenin 5 paragrafi (3) i këtij ligji. </w:t>
      </w:r>
    </w:p>
    <w:p w:rsidR="0092171A" w:rsidRDefault="0092171A" w:rsidP="0092171A">
      <w:pPr>
        <w:pStyle w:val="ListParagraph"/>
        <w:ind w:left="1125"/>
        <w:jc w:val="center"/>
      </w:pPr>
      <w:r>
        <w:t>Neni 19</w:t>
      </w:r>
    </w:p>
    <w:p w:rsidR="0092171A" w:rsidRDefault="0092171A" w:rsidP="0092171A">
      <w:pPr>
        <w:pStyle w:val="ListParagraph"/>
        <w:ind w:left="1125"/>
      </w:pPr>
      <w:r>
        <w:t>Gjobë në shumë prej 3000 deri 6000 euro në kundërvlerë me denarë do t’i shqiptohet secilit person i cili do të veprojë në kundërshtim me nenin 7 paragrafi (2) i këtij ligji.</w:t>
      </w:r>
    </w:p>
    <w:p w:rsidR="0092171A" w:rsidRDefault="0092171A" w:rsidP="0092171A">
      <w:pPr>
        <w:pStyle w:val="ListParagraph"/>
        <w:ind w:left="1125"/>
        <w:jc w:val="center"/>
      </w:pPr>
      <w:r>
        <w:t>Neni 20</w:t>
      </w:r>
    </w:p>
    <w:p w:rsidR="0092171A" w:rsidRDefault="0092171A" w:rsidP="0092171A">
      <w:pPr>
        <w:pStyle w:val="ListParagraph"/>
        <w:numPr>
          <w:ilvl w:val="0"/>
          <w:numId w:val="7"/>
        </w:numPr>
      </w:pPr>
      <w:r>
        <w:t xml:space="preserve">Gjobë në shumë prej 6000 euro në kundërvlerë me denarë do t’i shqiptohet institucionit përkatësisht personit juridik nëse vepron në kundërshtim me nenin 9 paragrafi (2) i këtij ligji. (2) Gjobë në shumë prej 30% të gjobës së llogaritur për institucionin përkatësisht personin juridik do t’i shqiptohet edhe personit përgjegjës në institucionin përkatësisht personin juridik për kundërvajtjen nga paragrafi (1) i këtij neni. </w:t>
      </w:r>
    </w:p>
    <w:p w:rsidR="0092171A" w:rsidRPr="0092171A" w:rsidRDefault="0092171A" w:rsidP="0092171A">
      <w:pPr>
        <w:pStyle w:val="ListParagraph"/>
        <w:ind w:left="1515"/>
        <w:jc w:val="center"/>
        <w:rPr>
          <w:lang w:val="sq-AL"/>
        </w:rPr>
      </w:pPr>
      <w:r>
        <w:t>Neni 21</w:t>
      </w:r>
    </w:p>
    <w:p w:rsidR="0092171A" w:rsidRPr="0092171A" w:rsidRDefault="0092171A" w:rsidP="0092171A">
      <w:pPr>
        <w:pStyle w:val="ListParagraph"/>
        <w:numPr>
          <w:ilvl w:val="0"/>
          <w:numId w:val="7"/>
        </w:numPr>
        <w:rPr>
          <w:lang w:val="sq-AL"/>
        </w:rPr>
      </w:pPr>
      <w:r>
        <w:t xml:space="preserve"> (1) Gjobë në shumë prej 4000 euro në kundërvlerë me denarë do t’i shqiptohet institucionit përkatësisht personit juridik nëse vepron në kundërshtim me nenin 15 paragrafi (1) i këtij ligji. </w:t>
      </w:r>
    </w:p>
    <w:p w:rsidR="0092171A" w:rsidRDefault="0092171A" w:rsidP="0092171A">
      <w:pPr>
        <w:pStyle w:val="ListParagraph"/>
        <w:numPr>
          <w:ilvl w:val="0"/>
          <w:numId w:val="7"/>
        </w:numPr>
      </w:pPr>
      <w:r>
        <w:t>Gjobë në shumë prej 30% të gjobës së përllogaritur për institucionin përkatësisht personin juridik do t’i shqiptohet edhe personit përgjegjës në institucionin përkatësisht personin juridik për kundërvajtjen nga paragrafi (1) i këtij neni.</w:t>
      </w:r>
    </w:p>
    <w:p w:rsidR="0092171A" w:rsidRDefault="0092171A" w:rsidP="0092171A">
      <w:pPr>
        <w:pStyle w:val="ListParagraph"/>
        <w:ind w:left="1515"/>
        <w:jc w:val="center"/>
      </w:pPr>
      <w:r>
        <w:t>Neni 22</w:t>
      </w:r>
    </w:p>
    <w:p w:rsidR="0092171A" w:rsidRDefault="0092171A" w:rsidP="0092171A">
      <w:pPr>
        <w:pStyle w:val="ListParagraph"/>
        <w:ind w:left="1515"/>
      </w:pPr>
      <w:r>
        <w:t xml:space="preserve">Para ngritjes së kërkesës për ngritjen e procedurës për kundërvajtje do të zbatohet procedurë për barazim në pajtim me Ligjin për kundërvajtje. </w:t>
      </w:r>
    </w:p>
    <w:p w:rsidR="0092171A" w:rsidRDefault="0092171A" w:rsidP="0092171A">
      <w:pPr>
        <w:pStyle w:val="ListParagraph"/>
        <w:ind w:left="1515"/>
        <w:jc w:val="center"/>
      </w:pPr>
      <w:r>
        <w:t>Neni 23</w:t>
      </w:r>
    </w:p>
    <w:p w:rsidR="0092171A" w:rsidRDefault="0092171A" w:rsidP="0092171A">
      <w:pPr>
        <w:pStyle w:val="ListParagraph"/>
        <w:ind w:left="1515"/>
      </w:pPr>
      <w:r>
        <w:t xml:space="preserve"> Për kundërvajtjet e parapara në këtë ligj procedurë për kundërvajtje do të zbatojë dhe sanksion për kundërvajtje do të shqiptojë gjykata kompetente.</w:t>
      </w:r>
    </w:p>
    <w:p w:rsidR="0092171A" w:rsidRDefault="0092171A" w:rsidP="0092171A">
      <w:pPr>
        <w:pStyle w:val="ListParagraph"/>
        <w:ind w:left="1515"/>
      </w:pPr>
    </w:p>
    <w:p w:rsidR="0092171A" w:rsidRDefault="0092171A" w:rsidP="0092171A">
      <w:pPr>
        <w:pStyle w:val="ListParagraph"/>
        <w:ind w:left="1515"/>
      </w:pPr>
    </w:p>
    <w:p w:rsidR="0092171A" w:rsidRPr="0092171A" w:rsidRDefault="0092171A" w:rsidP="0092171A">
      <w:pPr>
        <w:pStyle w:val="ListParagraph"/>
        <w:ind w:left="1515"/>
        <w:jc w:val="center"/>
        <w:rPr>
          <w:b/>
          <w:sz w:val="24"/>
          <w:szCs w:val="24"/>
        </w:rPr>
      </w:pPr>
      <w:r w:rsidRPr="0092171A">
        <w:rPr>
          <w:b/>
          <w:sz w:val="24"/>
          <w:szCs w:val="24"/>
        </w:rPr>
        <w:t>Dispozita kalimtare dhe përfundimtare</w:t>
      </w:r>
    </w:p>
    <w:p w:rsidR="0092171A" w:rsidRDefault="0092171A" w:rsidP="0092171A">
      <w:pPr>
        <w:pStyle w:val="ListParagraph"/>
        <w:ind w:left="1515"/>
        <w:jc w:val="center"/>
      </w:pPr>
      <w:r>
        <w:t>Neni 24</w:t>
      </w:r>
    </w:p>
    <w:p w:rsidR="0092171A" w:rsidRDefault="0092171A" w:rsidP="0092171A">
      <w:pPr>
        <w:pStyle w:val="ListParagraph"/>
        <w:numPr>
          <w:ilvl w:val="0"/>
          <w:numId w:val="8"/>
        </w:numPr>
      </w:pPr>
      <w:r>
        <w:t>Nuk lejohet për përmbajtje të denoncimit nga paragrafi (1) i nenit 3 të këtij ligji të shfrytëzohen materiale të cilat rezultojnë nga përcjellja e paligjshme e komunikimeve nga periudha prej vitit 2008 deri në vitin 2015.</w:t>
      </w:r>
    </w:p>
    <w:p w:rsidR="0092171A" w:rsidRDefault="0092171A" w:rsidP="0092171A">
      <w:pPr>
        <w:pStyle w:val="ListParagraph"/>
        <w:numPr>
          <w:ilvl w:val="0"/>
          <w:numId w:val="8"/>
        </w:numPr>
      </w:pPr>
      <w:r>
        <w:t xml:space="preserve"> (2) Për person denoncimi i të cilit është me përmbajtje që nuk lejohet në pajtim me paragrafin (1) të këtij neni nuk sigurohet mbrojtja në pajtim me nenet 8, 9 dhe 10 të këtij ligji dhe nuk aplikohen dispozitat e këtij ligji. </w:t>
      </w:r>
    </w:p>
    <w:p w:rsidR="0092171A" w:rsidRDefault="0092171A" w:rsidP="0092171A">
      <w:pPr>
        <w:pStyle w:val="ListParagraph"/>
        <w:ind w:left="1875"/>
        <w:jc w:val="center"/>
      </w:pPr>
      <w:r>
        <w:t>Neni 25</w:t>
      </w:r>
    </w:p>
    <w:p w:rsidR="0092171A" w:rsidRDefault="0092171A" w:rsidP="0092171A">
      <w:pPr>
        <w:pStyle w:val="ListParagraph"/>
        <w:ind w:left="1875"/>
      </w:pPr>
      <w:r>
        <w:t xml:space="preserve"> Ministri i Drejtësisë do të miratojë aktet nga neni 4 paragrafi (5) dhe neni 5 paragrafi (4) i këtij ligji në afat prej 60 ditëve nga dita e hyrjes në fuqi të këtij ligji.</w:t>
      </w:r>
    </w:p>
    <w:p w:rsidR="0092171A" w:rsidRDefault="0092171A" w:rsidP="0092171A">
      <w:pPr>
        <w:pStyle w:val="ListParagraph"/>
        <w:ind w:left="1875"/>
        <w:jc w:val="center"/>
      </w:pPr>
      <w:r>
        <w:t>Neni 26</w:t>
      </w:r>
    </w:p>
    <w:p w:rsidR="0092171A" w:rsidRDefault="0092171A" w:rsidP="0092171A">
      <w:pPr>
        <w:pStyle w:val="ListParagraph"/>
        <w:ind w:left="1875"/>
      </w:pPr>
      <w:r>
        <w:t>Ministri i Drejtësisë do t’i miratojë udhëzimet nga neni 4 paragrafi (8) i këtij ligji në afat prej 60 ditëve nga dita e hyrjes në fuqi të këtij ligji.</w:t>
      </w:r>
    </w:p>
    <w:p w:rsidR="0092171A" w:rsidRDefault="0092171A" w:rsidP="0092171A">
      <w:pPr>
        <w:pStyle w:val="ListParagraph"/>
        <w:ind w:left="1875"/>
        <w:jc w:val="center"/>
      </w:pPr>
      <w:r>
        <w:t>Neni 27</w:t>
      </w:r>
    </w:p>
    <w:p w:rsidR="006168BC" w:rsidRDefault="0092171A" w:rsidP="0092171A">
      <w:pPr>
        <w:pStyle w:val="ListParagraph"/>
        <w:ind w:left="1875"/>
      </w:pPr>
      <w:r>
        <w:t xml:space="preserve">Ministri i Drejtësisë do t’i miratojë aktet nga neni 5 paragrafi (4) të këtij ligji në afat prej 60 ditëve nga dita e hyrjes në fuqi të këtij ligji. </w:t>
      </w:r>
    </w:p>
    <w:p w:rsidR="006168BC" w:rsidRDefault="0092171A" w:rsidP="006168BC">
      <w:pPr>
        <w:pStyle w:val="ListParagraph"/>
        <w:ind w:left="1875"/>
        <w:jc w:val="center"/>
      </w:pPr>
      <w:r>
        <w:t>Neni 28</w:t>
      </w:r>
    </w:p>
    <w:p w:rsidR="006168BC" w:rsidRDefault="0092171A" w:rsidP="0092171A">
      <w:pPr>
        <w:pStyle w:val="ListParagraph"/>
        <w:ind w:left="1875"/>
      </w:pPr>
      <w:r>
        <w:t xml:space="preserve"> Ministri i Drejtësisë do t’i miratojë udhëzimet nga neni 5 paragrafi (7) i këtij ligji në afat prej 60 ditëve nga dita e hyrjes në fuqi të këtij ligji. </w:t>
      </w:r>
    </w:p>
    <w:p w:rsidR="006168BC" w:rsidRDefault="0092171A" w:rsidP="006168BC">
      <w:pPr>
        <w:pStyle w:val="ListParagraph"/>
        <w:ind w:left="1875"/>
        <w:jc w:val="center"/>
      </w:pPr>
      <w:r>
        <w:t>Neni 29</w:t>
      </w:r>
    </w:p>
    <w:p w:rsidR="006168BC" w:rsidRDefault="0092171A" w:rsidP="0092171A">
      <w:pPr>
        <w:pStyle w:val="ListParagraph"/>
        <w:ind w:left="1875"/>
      </w:pPr>
      <w:r>
        <w:t>Ligjet me të cilat rregullohen të drejtat dhe obligimet e marrëdhënies së punës në sektorin publik dhe privat do të harmonizohen me këtë ligj më së shumti tre muaj nga dita e hyrjes në fuqi të këtij ligji.</w:t>
      </w:r>
    </w:p>
    <w:p w:rsidR="006168BC" w:rsidRDefault="0092171A" w:rsidP="006168BC">
      <w:pPr>
        <w:pStyle w:val="ListParagraph"/>
        <w:ind w:left="1875"/>
        <w:jc w:val="center"/>
      </w:pPr>
      <w:r>
        <w:t>Neni 30</w:t>
      </w:r>
    </w:p>
    <w:p w:rsidR="0092171A" w:rsidRPr="0092171A" w:rsidRDefault="0092171A" w:rsidP="0092171A">
      <w:pPr>
        <w:pStyle w:val="ListParagraph"/>
        <w:ind w:left="1875"/>
        <w:rPr>
          <w:lang w:val="sq-AL"/>
        </w:rPr>
      </w:pPr>
      <w:proofErr w:type="gramStart"/>
      <w:r>
        <w:t>Ky</w:t>
      </w:r>
      <w:proofErr w:type="gramEnd"/>
      <w:r>
        <w:t xml:space="preserve"> ligj hyn në fuqi në ditën e tetë nga dita e botimit në “Gazetën Zyrtare të Republikës së Maqedonisë”, kurse do të fillojë të zbatohet pas katër muajve nga dita e hyrjes në fuqi të këtij ligji.</w:t>
      </w:r>
    </w:p>
    <w:sectPr w:rsidR="0092171A" w:rsidRPr="0092171A" w:rsidSect="006C3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88D"/>
    <w:multiLevelType w:val="hybridMultilevel"/>
    <w:tmpl w:val="32741CF6"/>
    <w:lvl w:ilvl="0" w:tplc="BB18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864B2"/>
    <w:multiLevelType w:val="hybridMultilevel"/>
    <w:tmpl w:val="671045A6"/>
    <w:lvl w:ilvl="0" w:tplc="1BF4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07872"/>
    <w:multiLevelType w:val="hybridMultilevel"/>
    <w:tmpl w:val="E72C26DC"/>
    <w:lvl w:ilvl="0" w:tplc="7BBC3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E54A7"/>
    <w:multiLevelType w:val="hybridMultilevel"/>
    <w:tmpl w:val="9DC627A0"/>
    <w:lvl w:ilvl="0" w:tplc="9200A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B048F6"/>
    <w:multiLevelType w:val="hybridMultilevel"/>
    <w:tmpl w:val="CF76694C"/>
    <w:lvl w:ilvl="0" w:tplc="86561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72403"/>
    <w:multiLevelType w:val="hybridMultilevel"/>
    <w:tmpl w:val="E660B660"/>
    <w:lvl w:ilvl="0" w:tplc="AFAE1362">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nsid w:val="6D995A13"/>
    <w:multiLevelType w:val="hybridMultilevel"/>
    <w:tmpl w:val="62B89F98"/>
    <w:lvl w:ilvl="0" w:tplc="D67030FA">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71342EA7"/>
    <w:multiLevelType w:val="hybridMultilevel"/>
    <w:tmpl w:val="AB80C640"/>
    <w:lvl w:ilvl="0" w:tplc="5A361E8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hideSpellingErrors/>
  <w:proofState w:grammar="clean"/>
  <w:defaultTabStop w:val="720"/>
  <w:characterSpacingControl w:val="doNotCompress"/>
  <w:savePreviewPicture/>
  <w:compat/>
  <w:rsids>
    <w:rsidRoot w:val="00483E34"/>
    <w:rsid w:val="000079D7"/>
    <w:rsid w:val="00213E7A"/>
    <w:rsid w:val="002C5394"/>
    <w:rsid w:val="0031229C"/>
    <w:rsid w:val="003E6639"/>
    <w:rsid w:val="00483E34"/>
    <w:rsid w:val="00512E16"/>
    <w:rsid w:val="005C20C3"/>
    <w:rsid w:val="006168BC"/>
    <w:rsid w:val="00671B90"/>
    <w:rsid w:val="006C3A5D"/>
    <w:rsid w:val="006C5357"/>
    <w:rsid w:val="007837E6"/>
    <w:rsid w:val="0092171A"/>
    <w:rsid w:val="0092789F"/>
    <w:rsid w:val="009A0C90"/>
    <w:rsid w:val="009B46B3"/>
    <w:rsid w:val="00AD0A36"/>
    <w:rsid w:val="00B46457"/>
    <w:rsid w:val="00C35796"/>
    <w:rsid w:val="00C607DD"/>
    <w:rsid w:val="00EE3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2023-01-25T10:26:00Z</dcterms:created>
  <dcterms:modified xsi:type="dcterms:W3CDTF">2023-01-25T10:26:00Z</dcterms:modified>
</cp:coreProperties>
</file>